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C3" w:rsidRDefault="00855EC3" w:rsidP="00855EC3">
      <w:pPr>
        <w:spacing w:line="240" w:lineRule="auto"/>
        <w:ind w:hanging="2"/>
        <w:jc w:val="both"/>
        <w:rPr>
          <w:rFonts w:ascii="Times New Roman" w:eastAsia="Times New Roman" w:hAnsi="Times New Roman"/>
          <w:b/>
          <w:color w:val="000000"/>
          <w:sz w:val="20"/>
          <w:szCs w:val="20"/>
        </w:rPr>
      </w:pPr>
      <w:r>
        <w:rPr>
          <w:rFonts w:ascii="Times New Roman" w:eastAsia="Times New Roman" w:hAnsi="Times New Roman"/>
        </w:rPr>
        <w:t xml:space="preserve">For the numerical simulations, two versions of the ICON model were employed: the operational version v2.3.0 (control run) and the newer version v2.6.5. </w:t>
      </w:r>
    </w:p>
    <w:p w:rsidR="00855EC3" w:rsidRDefault="00855EC3" w:rsidP="00855EC3">
      <w:pPr>
        <w:spacing w:line="240" w:lineRule="auto"/>
        <w:ind w:hanging="2"/>
        <w:jc w:val="both"/>
        <w:rPr>
          <w:rFonts w:ascii="Times New Roman" w:eastAsia="Times New Roman" w:hAnsi="Times New Roman"/>
          <w:b/>
          <w:sz w:val="20"/>
          <w:szCs w:val="20"/>
        </w:rPr>
      </w:pPr>
    </w:p>
    <w:p w:rsidR="00855EC3" w:rsidRDefault="00855EC3" w:rsidP="00855EC3">
      <w:pPr>
        <w:spacing w:line="240" w:lineRule="auto"/>
        <w:ind w:hanging="2"/>
        <w:jc w:val="right"/>
        <w:rPr>
          <w:rFonts w:ascii="Times New Roman" w:eastAsia="Times New Roman" w:hAnsi="Times New Roman"/>
          <w:b/>
        </w:rPr>
      </w:pPr>
      <w:r>
        <w:rPr>
          <w:rFonts w:ascii="Times New Roman" w:eastAsia="Times New Roman" w:hAnsi="Times New Roman"/>
          <w:b/>
          <w:color w:val="000000"/>
          <w:sz w:val="20"/>
          <w:szCs w:val="20"/>
        </w:rPr>
        <w:t xml:space="preserve">Table </w:t>
      </w:r>
      <w:r>
        <w:rPr>
          <w:rFonts w:ascii="Times New Roman" w:eastAsia="Times New Roman" w:hAnsi="Times New Roman"/>
          <w:b/>
          <w:sz w:val="20"/>
          <w:szCs w:val="20"/>
        </w:rPr>
        <w:t>1</w:t>
      </w:r>
      <w:r>
        <w:rPr>
          <w:rFonts w:ascii="Times New Roman" w:eastAsia="Times New Roman" w:hAnsi="Times New Roman"/>
          <w:b/>
          <w:color w:val="000000"/>
          <w:sz w:val="20"/>
          <w:szCs w:val="20"/>
        </w:rPr>
        <w:t xml:space="preserve">. </w:t>
      </w:r>
      <w:r>
        <w:rPr>
          <w:rFonts w:ascii="Times New Roman" w:eastAsia="Times New Roman" w:hAnsi="Times New Roman"/>
          <w:color w:val="000000"/>
          <w:sz w:val="20"/>
          <w:szCs w:val="20"/>
        </w:rPr>
        <w:t xml:space="preserve">Model configurations used for specific test cases marked </w:t>
      </w:r>
      <w:r>
        <w:rPr>
          <w:rFonts w:ascii="Times New Roman" w:eastAsia="Times New Roman" w:hAnsi="Times New Roman"/>
          <w:sz w:val="20"/>
          <w:szCs w:val="20"/>
        </w:rPr>
        <w:t xml:space="preserve">with </w:t>
      </w:r>
      <w:r>
        <w:rPr>
          <w:rFonts w:ascii="Times New Roman" w:eastAsia="Times New Roman" w:hAnsi="Times New Roman"/>
          <w:color w:val="000000"/>
          <w:sz w:val="20"/>
          <w:szCs w:val="20"/>
        </w:rPr>
        <w:t>Y; configurations used for specific cases</w:t>
      </w:r>
      <w:r>
        <w:rPr>
          <w:rFonts w:ascii="Times New Roman" w:eastAsia="Times New Roman" w:hAnsi="Times New Roman"/>
          <w:sz w:val="20"/>
          <w:szCs w:val="20"/>
        </w:rPr>
        <w:t xml:space="preserve"> but </w:t>
      </w:r>
      <w:r>
        <w:rPr>
          <w:rFonts w:ascii="Times New Roman" w:eastAsia="Times New Roman" w:hAnsi="Times New Roman"/>
          <w:color w:val="000000"/>
          <w:sz w:val="20"/>
          <w:szCs w:val="20"/>
        </w:rPr>
        <w:t>not presented</w:t>
      </w:r>
      <w:r>
        <w:rPr>
          <w:rFonts w:ascii="Times New Roman" w:eastAsia="Times New Roman" w:hAnsi="Times New Roman"/>
          <w:sz w:val="20"/>
          <w:szCs w:val="20"/>
        </w:rPr>
        <w:t xml:space="preserve"> in the detailed analysis</w:t>
      </w:r>
      <w:r>
        <w:rPr>
          <w:rFonts w:ascii="Times New Roman" w:eastAsia="Times New Roman" w:hAnsi="Times New Roman"/>
          <w:color w:val="000000"/>
          <w:sz w:val="20"/>
          <w:szCs w:val="20"/>
        </w:rPr>
        <w:t xml:space="preserve"> marked with x; identified optimum configuration in bold.</w:t>
      </w:r>
    </w:p>
    <w:tbl>
      <w:tblPr>
        <w:tblW w:w="8550" w:type="dxa"/>
        <w:tblInd w:w="-55" w:type="dxa"/>
        <w:tblLook w:val="0000" w:firstRow="0" w:lastRow="0" w:firstColumn="0" w:lastColumn="0" w:noHBand="0" w:noVBand="0"/>
      </w:tblPr>
      <w:tblGrid>
        <w:gridCol w:w="1893"/>
        <w:gridCol w:w="782"/>
        <w:gridCol w:w="782"/>
        <w:gridCol w:w="1093"/>
        <w:gridCol w:w="1093"/>
        <w:gridCol w:w="1093"/>
        <w:gridCol w:w="1071"/>
        <w:gridCol w:w="748"/>
        <w:gridCol w:w="1071"/>
      </w:tblGrid>
      <w:tr w:rsidR="00855EC3" w:rsidTr="006D7DBA">
        <w:trPr>
          <w:trHeight w:val="1440"/>
        </w:trPr>
        <w:tc>
          <w:tcPr>
            <w:tcW w:w="2520"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Model Set-up</w:t>
            </w:r>
          </w:p>
        </w:tc>
        <w:tc>
          <w:tcPr>
            <w:tcW w:w="810"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Oper/ Ctrl</w:t>
            </w:r>
          </w:p>
        </w:tc>
        <w:tc>
          <w:tcPr>
            <w:tcW w:w="810"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w:t>
            </w:r>
          </w:p>
        </w:tc>
        <w:tc>
          <w:tcPr>
            <w:tcW w:w="736"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v265EGr1</w:t>
            </w:r>
          </w:p>
        </w:tc>
        <w:tc>
          <w:tcPr>
            <w:tcW w:w="734"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v265EGr2</w:t>
            </w:r>
          </w:p>
        </w:tc>
        <w:tc>
          <w:tcPr>
            <w:tcW w:w="734"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v265EGr3</w:t>
            </w:r>
          </w:p>
        </w:tc>
        <w:tc>
          <w:tcPr>
            <w:tcW w:w="720"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v265ESh1</w:t>
            </w:r>
          </w:p>
        </w:tc>
        <w:tc>
          <w:tcPr>
            <w:tcW w:w="766" w:type="dxa"/>
            <w:tcBorders>
              <w:top w:val="single" w:sz="4" w:space="0" w:color="000000"/>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b/>
                <w:color w:val="000000"/>
              </w:rPr>
            </w:pPr>
            <w:r>
              <w:rPr>
                <w:rFonts w:ascii="Times New Roman" w:eastAsia="Times New Roman" w:hAnsi="Times New Roman"/>
                <w:b/>
                <w:color w:val="000000"/>
              </w:rPr>
              <w:t>v265</w:t>
            </w:r>
          </w:p>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ESh2</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v265ESh3</w:t>
            </w:r>
          </w:p>
        </w:tc>
      </w:tr>
      <w:tr w:rsidR="00855EC3" w:rsidTr="006D7DBA">
        <w:trPr>
          <w:trHeight w:val="450"/>
        </w:trPr>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version</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2.3.0</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2.6.5</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2.6.5</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shallowconv_only</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true</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grayzone_deepconv</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true</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false</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false</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radiation</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RRTM</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RRTM</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ecRad</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ecRad</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ecRad</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ecRad</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ecRad</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ecRad</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Laminar resistance</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1.0</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1.0</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1.0</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10.0</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20.0</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1.0</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10.0</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20.0</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Convection cases (heavy precipitation)</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b/>
              </w:rPr>
              <w:t>Y</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rPr>
            </w:pPr>
            <w:r>
              <w:rPr>
                <w:rFonts w:ascii="Times New Roman" w:eastAsia="Times New Roman" w:hAnsi="Times New Roman"/>
              </w:rPr>
              <w:t>Y</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Convection cases (hail)</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Y</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Y</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Winter cases (mixed precipitation)</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Y</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x</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Y</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r>
      <w:tr w:rsidR="00855EC3" w:rsidTr="006D7DBA">
        <w:tc>
          <w:tcPr>
            <w:tcW w:w="25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Long-term evaluation</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Y</w:t>
            </w:r>
          </w:p>
        </w:tc>
        <w:tc>
          <w:tcPr>
            <w:tcW w:w="81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x</w:t>
            </w:r>
          </w:p>
        </w:tc>
        <w:tc>
          <w:tcPr>
            <w:tcW w:w="734"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20"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c>
          <w:tcPr>
            <w:tcW w:w="766" w:type="dxa"/>
            <w:tcBorders>
              <w:left w:val="single" w:sz="4" w:space="0" w:color="000000"/>
              <w:bottom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b/>
                <w:color w:val="000000"/>
              </w:rPr>
              <w:t>Y</w:t>
            </w:r>
          </w:p>
        </w:tc>
        <w:tc>
          <w:tcPr>
            <w:tcW w:w="719"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rPr>
                <w:rFonts w:ascii="Times New Roman" w:eastAsia="Times New Roman" w:hAnsi="Times New Roman"/>
                <w:color w:val="000000"/>
              </w:rPr>
            </w:pPr>
            <w:r>
              <w:rPr>
                <w:rFonts w:ascii="Times New Roman" w:eastAsia="Times New Roman" w:hAnsi="Times New Roman"/>
                <w:color w:val="000000"/>
              </w:rPr>
              <w:t>-</w:t>
            </w:r>
          </w:p>
        </w:tc>
      </w:tr>
    </w:tbl>
    <w:p w:rsidR="00855EC3" w:rsidRDefault="00855EC3" w:rsidP="00855EC3">
      <w:pPr>
        <w:spacing w:before="245" w:after="0" w:line="240" w:lineRule="auto"/>
        <w:ind w:hanging="2"/>
        <w:jc w:val="both"/>
        <w:rPr>
          <w:rFonts w:ascii="Times New Roman" w:eastAsia="Times New Roman" w:hAnsi="Times New Roman"/>
          <w:b/>
        </w:rPr>
      </w:pPr>
    </w:p>
    <w:p w:rsidR="00855EC3" w:rsidRDefault="00855EC3" w:rsidP="00855EC3">
      <w:pPr>
        <w:spacing w:before="245" w:after="0" w:line="240" w:lineRule="auto"/>
        <w:ind w:hanging="2"/>
        <w:jc w:val="both"/>
        <w:rPr>
          <w:color w:val="C9211E"/>
        </w:rPr>
      </w:pPr>
      <w:r>
        <w:rPr>
          <w:rFonts w:ascii="Times New Roman" w:eastAsia="Times New Roman" w:hAnsi="Times New Roman"/>
          <w:b/>
          <w:color w:val="C9211E"/>
        </w:rPr>
        <w:t>From the analysed cases with heavy precipitation in the convective season, the best results were obtained using the shallow convection parameterization, ecRad radiation scheme and klaminar resistance 10.</w:t>
      </w:r>
    </w:p>
    <w:p w:rsidR="00855EC3" w:rsidRDefault="00855EC3" w:rsidP="00855EC3">
      <w:pPr>
        <w:spacing w:before="245" w:after="0" w:line="240" w:lineRule="auto"/>
        <w:ind w:hanging="2"/>
        <w:jc w:val="both"/>
        <w:rPr>
          <w:rFonts w:ascii="Times New Roman" w:eastAsia="Times New Roman" w:hAnsi="Times New Roman"/>
          <w:b/>
        </w:rPr>
      </w:pPr>
      <w:r>
        <w:rPr>
          <w:rFonts w:ascii="Times New Roman" w:eastAsia="Times New Roman" w:hAnsi="Times New Roman"/>
          <w:b/>
        </w:rPr>
        <w:t>3. Numerical Simulations For The Convective Season</w:t>
      </w:r>
    </w:p>
    <w:p w:rsidR="00855EC3" w:rsidRDefault="00855EC3" w:rsidP="00855EC3">
      <w:pPr>
        <w:spacing w:before="245" w:after="0" w:line="240" w:lineRule="auto"/>
        <w:ind w:hanging="2"/>
        <w:jc w:val="both"/>
        <w:rPr>
          <w:rFonts w:ascii="Times New Roman" w:eastAsia="Times New Roman" w:hAnsi="Times New Roman"/>
          <w:highlight w:val="yellow"/>
        </w:rPr>
      </w:pPr>
      <w:r>
        <w:rPr>
          <w:rFonts w:ascii="Times New Roman" w:eastAsia="Times New Roman" w:hAnsi="Times New Roman"/>
          <w:b/>
        </w:rPr>
        <w:t>3.1. Heavy precipitation (31 August 2022 – 3 September 2022)</w:t>
      </w:r>
    </w:p>
    <w:p w:rsidR="00855EC3" w:rsidRDefault="00855EC3" w:rsidP="00855EC3">
      <w:pPr>
        <w:ind w:hanging="2"/>
        <w:jc w:val="both"/>
        <w:rPr>
          <w:rFonts w:ascii="Times New Roman" w:eastAsia="Times New Roman" w:hAnsi="Times New Roman"/>
          <w:highlight w:val="yellow"/>
        </w:rPr>
      </w:pPr>
    </w:p>
    <w:p w:rsidR="00855EC3" w:rsidRDefault="00855EC3" w:rsidP="00855EC3">
      <w:pPr>
        <w:ind w:hanging="2"/>
        <w:jc w:val="both"/>
        <w:rPr>
          <w:rFonts w:ascii="Times New Roman" w:eastAsia="Times New Roman" w:hAnsi="Times New Roman"/>
        </w:rPr>
      </w:pPr>
      <w:r>
        <w:rPr>
          <w:rFonts w:ascii="Times New Roman" w:eastAsia="Times New Roman" w:hAnsi="Times New Roman"/>
        </w:rPr>
        <w:t>The heavy precipitation registered during this period especially in the South areas of Romania were thus determined both by synoptic scale factors (short wave through ensuring updrafts over the baroclinic area near the surface and the anticyclonic blocking pattern at the surface) and by local factors (forced updrafts induced by orography and low level jet stream leading to increased humidity in the boundary layer).</w:t>
      </w:r>
    </w:p>
    <w:tbl>
      <w:tblPr>
        <w:tblW w:w="8658" w:type="dxa"/>
        <w:tblInd w:w="-55" w:type="dxa"/>
        <w:tblLook w:val="0000" w:firstRow="0" w:lastRow="0" w:firstColumn="0" w:lastColumn="0" w:noHBand="0" w:noVBand="0"/>
      </w:tblPr>
      <w:tblGrid>
        <w:gridCol w:w="8658"/>
      </w:tblGrid>
      <w:tr w:rsidR="00855EC3" w:rsidTr="006D7DBA">
        <w:tc>
          <w:tcPr>
            <w:tcW w:w="8658" w:type="dxa"/>
            <w:tcBorders>
              <w:top w:val="single" w:sz="4" w:space="0" w:color="000000"/>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rPr>
            </w:pPr>
            <w:r>
              <w:rPr>
                <w:rFonts w:ascii="Times New Roman" w:eastAsia="Times New Roman" w:hAnsi="Times New Roman"/>
                <w:noProof/>
                <w:color w:val="000000"/>
                <w:lang w:val="fr-FR" w:eastAsia="fr-FR"/>
              </w:rPr>
              <w:lastRenderedPageBreak/>
              <w:drawing>
                <wp:anchor distT="0" distB="0" distL="0" distR="0" simplePos="0" relativeHeight="251659264" behindDoc="0" locked="0" layoutInCell="1" allowOverlap="1" wp14:anchorId="4FEE3730" wp14:editId="00C80CF3">
                  <wp:simplePos x="0" y="0"/>
                  <wp:positionH relativeFrom="column">
                    <wp:posOffset>229870</wp:posOffset>
                  </wp:positionH>
                  <wp:positionV relativeFrom="paragraph">
                    <wp:posOffset>5080</wp:posOffset>
                  </wp:positionV>
                  <wp:extent cx="5026025" cy="3192145"/>
                  <wp:effectExtent l="0" t="0" r="0" b="0"/>
                  <wp:wrapTopAndBottom/>
                  <wp:docPr id="1" name="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jpg"/>
                          <pic:cNvPicPr>
                            <a:picLocks noChangeAspect="1" noChangeArrowheads="1"/>
                          </pic:cNvPicPr>
                        </pic:nvPicPr>
                        <pic:blipFill>
                          <a:blip r:embed="rId5"/>
                          <a:stretch>
                            <a:fillRect/>
                          </a:stretch>
                        </pic:blipFill>
                        <pic:spPr bwMode="auto">
                          <a:xfrm>
                            <a:off x="0" y="0"/>
                            <a:ext cx="5026025" cy="3192145"/>
                          </a:xfrm>
                          <a:prstGeom prst="rect">
                            <a:avLst/>
                          </a:prstGeom>
                        </pic:spPr>
                      </pic:pic>
                    </a:graphicData>
                  </a:graphic>
                </wp:anchor>
              </w:drawing>
            </w:r>
          </w:p>
        </w:tc>
      </w:tr>
      <w:tr w:rsidR="00855EC3" w:rsidTr="006D7DBA">
        <w:tc>
          <w:tcPr>
            <w:tcW w:w="8658"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sz w:val="28"/>
                <w:szCs w:val="28"/>
              </w:rPr>
            </w:pPr>
            <w:r>
              <w:rPr>
                <w:rFonts w:ascii="Times New Roman" w:eastAsia="Times New Roman" w:hAnsi="Times New Roman"/>
                <w:color w:val="000000"/>
              </w:rPr>
              <w:t>24 hours accumulated precipitation  for 31.08.2022 06UTC – 1.09.2022 06UTC; left to right, top to bottom: observations, control run, v265, v265EGr1, v265EGr2, v265EGr3, v265ESh1, v265ESh2, v265ESh3. Model runs from 31.08.2022 00UTC (30 hours lead time).</w:t>
            </w:r>
          </w:p>
        </w:tc>
      </w:tr>
    </w:tbl>
    <w:p w:rsidR="00855EC3" w:rsidRDefault="00855EC3" w:rsidP="00855EC3">
      <w:pPr>
        <w:spacing w:line="240" w:lineRule="auto"/>
        <w:ind w:hanging="2"/>
        <w:jc w:val="both"/>
        <w:rPr>
          <w:rFonts w:ascii="Times New Roman" w:eastAsia="Times New Roman" w:hAnsi="Times New Roman"/>
        </w:rPr>
      </w:pPr>
    </w:p>
    <w:p w:rsidR="00855EC3" w:rsidRDefault="00855EC3" w:rsidP="00855EC3">
      <w:pPr>
        <w:spacing w:line="240" w:lineRule="auto"/>
        <w:ind w:hanging="2"/>
        <w:jc w:val="both"/>
        <w:rPr>
          <w:rFonts w:ascii="Times New Roman" w:eastAsia="Times New Roman" w:hAnsi="Times New Roman"/>
        </w:rPr>
      </w:pPr>
    </w:p>
    <w:tbl>
      <w:tblPr>
        <w:tblW w:w="8658" w:type="dxa"/>
        <w:tblInd w:w="-55" w:type="dxa"/>
        <w:tblLook w:val="0000" w:firstRow="0" w:lastRow="0" w:firstColumn="0" w:lastColumn="0" w:noHBand="0" w:noVBand="0"/>
      </w:tblPr>
      <w:tblGrid>
        <w:gridCol w:w="8658"/>
      </w:tblGrid>
      <w:tr w:rsidR="00855EC3" w:rsidTr="006D7DBA">
        <w:tc>
          <w:tcPr>
            <w:tcW w:w="8658" w:type="dxa"/>
            <w:tcBorders>
              <w:top w:val="single" w:sz="4" w:space="0" w:color="000000"/>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rPr>
            </w:pPr>
            <w:r>
              <w:rPr>
                <w:rFonts w:ascii="Times New Roman" w:eastAsia="Times New Roman" w:hAnsi="Times New Roman"/>
                <w:noProof/>
                <w:color w:val="000000"/>
                <w:lang w:val="fr-FR" w:eastAsia="fr-FR"/>
              </w:rPr>
              <w:drawing>
                <wp:anchor distT="0" distB="0" distL="0" distR="0" simplePos="0" relativeHeight="251660288" behindDoc="0" locked="0" layoutInCell="1" allowOverlap="1" wp14:anchorId="18C87920" wp14:editId="5DDB6FAE">
                  <wp:simplePos x="0" y="0"/>
                  <wp:positionH relativeFrom="column">
                    <wp:posOffset>231775</wp:posOffset>
                  </wp:positionH>
                  <wp:positionV relativeFrom="paragraph">
                    <wp:posOffset>8890</wp:posOffset>
                  </wp:positionV>
                  <wp:extent cx="5022850" cy="3188970"/>
                  <wp:effectExtent l="0" t="0" r="0" b="0"/>
                  <wp:wrapTopAndBottom/>
                  <wp:docPr id="2"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g"/>
                          <pic:cNvPicPr>
                            <a:picLocks noChangeAspect="1" noChangeArrowheads="1"/>
                          </pic:cNvPicPr>
                        </pic:nvPicPr>
                        <pic:blipFill>
                          <a:blip r:embed="rId6"/>
                          <a:stretch>
                            <a:fillRect/>
                          </a:stretch>
                        </pic:blipFill>
                        <pic:spPr bwMode="auto">
                          <a:xfrm>
                            <a:off x="0" y="0"/>
                            <a:ext cx="5022850" cy="3188970"/>
                          </a:xfrm>
                          <a:prstGeom prst="rect">
                            <a:avLst/>
                          </a:prstGeom>
                        </pic:spPr>
                      </pic:pic>
                    </a:graphicData>
                  </a:graphic>
                </wp:anchor>
              </w:drawing>
            </w:r>
          </w:p>
        </w:tc>
      </w:tr>
      <w:tr w:rsidR="00855EC3" w:rsidTr="006D7DBA">
        <w:tc>
          <w:tcPr>
            <w:tcW w:w="8658"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rPr>
            </w:pPr>
            <w:r>
              <w:rPr>
                <w:rFonts w:ascii="Times New Roman" w:eastAsia="Times New Roman" w:hAnsi="Times New Roman"/>
                <w:color w:val="000000"/>
              </w:rPr>
              <w:t>24 hours accumulated precipitation  for 1.09.2022 06UTC – 2.09.2022 06UTC; left to right, top to bottom: observations, control run, v265, v265EGr1, v265EGr2, v265EGr3, v265ESh1, v265ESh2, v265ESh3. Model runs from 1.09.2022 00UTC (30 hours lead time).</w:t>
            </w:r>
          </w:p>
        </w:tc>
      </w:tr>
    </w:tbl>
    <w:p w:rsidR="00855EC3" w:rsidRDefault="00855EC3" w:rsidP="00855EC3">
      <w:pPr>
        <w:spacing w:line="240" w:lineRule="auto"/>
        <w:ind w:hanging="2"/>
        <w:jc w:val="both"/>
        <w:rPr>
          <w:rFonts w:ascii="Times New Roman" w:eastAsia="Times New Roman" w:hAnsi="Times New Roman"/>
        </w:rPr>
      </w:pPr>
    </w:p>
    <w:p w:rsidR="00855EC3" w:rsidRDefault="00855EC3" w:rsidP="00855EC3">
      <w:pPr>
        <w:spacing w:line="240" w:lineRule="auto"/>
        <w:ind w:hanging="2"/>
        <w:jc w:val="both"/>
        <w:rPr>
          <w:rFonts w:ascii="Times New Roman" w:eastAsia="Times New Roman" w:hAnsi="Times New Roman"/>
        </w:rPr>
      </w:pPr>
    </w:p>
    <w:p w:rsidR="00855EC3" w:rsidRDefault="00855EC3" w:rsidP="00855EC3">
      <w:pPr>
        <w:spacing w:line="240" w:lineRule="auto"/>
        <w:ind w:hanging="2"/>
        <w:jc w:val="both"/>
        <w:rPr>
          <w:rFonts w:ascii="Times New Roman" w:eastAsia="Times New Roman" w:hAnsi="Times New Roman"/>
        </w:rPr>
      </w:pPr>
    </w:p>
    <w:tbl>
      <w:tblPr>
        <w:tblW w:w="8658" w:type="dxa"/>
        <w:tblInd w:w="-55" w:type="dxa"/>
        <w:tblLook w:val="0000" w:firstRow="0" w:lastRow="0" w:firstColumn="0" w:lastColumn="0" w:noHBand="0" w:noVBand="0"/>
      </w:tblPr>
      <w:tblGrid>
        <w:gridCol w:w="8658"/>
      </w:tblGrid>
      <w:tr w:rsidR="00855EC3" w:rsidTr="006D7DBA">
        <w:tc>
          <w:tcPr>
            <w:tcW w:w="8658" w:type="dxa"/>
            <w:tcBorders>
              <w:top w:val="single" w:sz="4" w:space="0" w:color="000000"/>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rPr>
            </w:pPr>
            <w:r>
              <w:rPr>
                <w:rFonts w:ascii="Times New Roman" w:eastAsia="Times New Roman" w:hAnsi="Times New Roman"/>
                <w:noProof/>
                <w:color w:val="000000"/>
                <w:lang w:val="fr-FR" w:eastAsia="fr-FR"/>
              </w:rPr>
              <w:drawing>
                <wp:anchor distT="0" distB="0" distL="0" distR="0" simplePos="0" relativeHeight="251661312" behindDoc="0" locked="0" layoutInCell="1" allowOverlap="1" wp14:anchorId="725F9C3C" wp14:editId="58F9AFD8">
                  <wp:simplePos x="0" y="0"/>
                  <wp:positionH relativeFrom="column">
                    <wp:posOffset>231775</wp:posOffset>
                  </wp:positionH>
                  <wp:positionV relativeFrom="paragraph">
                    <wp:posOffset>5080</wp:posOffset>
                  </wp:positionV>
                  <wp:extent cx="5022850" cy="3188970"/>
                  <wp:effectExtent l="0" t="0" r="0" b="0"/>
                  <wp:wrapTopAndBottom/>
                  <wp:docPr id="3"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pic:cNvPicPr>
                            <a:picLocks noChangeAspect="1" noChangeArrowheads="1"/>
                          </pic:cNvPicPr>
                        </pic:nvPicPr>
                        <pic:blipFill>
                          <a:blip r:embed="rId7"/>
                          <a:stretch>
                            <a:fillRect/>
                          </a:stretch>
                        </pic:blipFill>
                        <pic:spPr bwMode="auto">
                          <a:xfrm>
                            <a:off x="0" y="0"/>
                            <a:ext cx="5022850" cy="3188970"/>
                          </a:xfrm>
                          <a:prstGeom prst="rect">
                            <a:avLst/>
                          </a:prstGeom>
                        </pic:spPr>
                      </pic:pic>
                    </a:graphicData>
                  </a:graphic>
                </wp:anchor>
              </w:drawing>
            </w:r>
          </w:p>
        </w:tc>
      </w:tr>
      <w:tr w:rsidR="00855EC3" w:rsidTr="006D7DBA">
        <w:tc>
          <w:tcPr>
            <w:tcW w:w="8658" w:type="dxa"/>
            <w:tcBorders>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sz w:val="28"/>
                <w:szCs w:val="28"/>
              </w:rPr>
            </w:pPr>
            <w:r>
              <w:rPr>
                <w:rFonts w:ascii="Times New Roman" w:eastAsia="Times New Roman" w:hAnsi="Times New Roman"/>
                <w:color w:val="000000"/>
              </w:rPr>
              <w:t>24 hours accumulated precipitation  for 2.09.2022 06UTC – 3.09.2022 06UTC; left to right, top to bottom: observations, control run, v265, v265EGr1, v265EGr2, v265EGr3, v265ESh1, v265ESh2, v265ESh3. Model runs from 2.09.2022 00UTC (30 hours lead time).</w:t>
            </w:r>
          </w:p>
        </w:tc>
      </w:tr>
    </w:tbl>
    <w:p w:rsidR="00855EC3" w:rsidRDefault="00855EC3" w:rsidP="00855EC3">
      <w:pPr>
        <w:spacing w:line="240" w:lineRule="auto"/>
        <w:ind w:hanging="2"/>
        <w:jc w:val="both"/>
        <w:rPr>
          <w:rFonts w:ascii="Times New Roman" w:eastAsia="Times New Roman" w:hAnsi="Times New Roman"/>
        </w:rPr>
      </w:pPr>
    </w:p>
    <w:p w:rsidR="00855EC3" w:rsidRDefault="00855EC3" w:rsidP="00855EC3">
      <w:pPr>
        <w:spacing w:line="240" w:lineRule="auto"/>
        <w:ind w:hanging="2"/>
        <w:jc w:val="both"/>
        <w:rPr>
          <w:rFonts w:ascii="Times New Roman" w:eastAsia="Times New Roman" w:hAnsi="Times New Roman"/>
        </w:rPr>
      </w:pPr>
      <w:r>
        <w:rPr>
          <w:rFonts w:ascii="Times New Roman" w:eastAsia="Times New Roman" w:hAnsi="Times New Roman"/>
        </w:rPr>
        <w:t xml:space="preserve">Statistical scores were also computed for the interval 31.08.2022 03UTC – 6.09.2022 06UTC, for all configurations, for 3 hour accumulated precipitation, total cloud cover and surface parameters. </w:t>
      </w:r>
    </w:p>
    <w:p w:rsidR="00855EC3" w:rsidRDefault="00855EC3" w:rsidP="00855EC3">
      <w:pPr>
        <w:spacing w:line="240" w:lineRule="auto"/>
        <w:ind w:hanging="2"/>
        <w:jc w:val="both"/>
        <w:rPr>
          <w:rFonts w:ascii="Times New Roman" w:eastAsia="Times New Roman" w:hAnsi="Times New Roman"/>
          <w:b/>
          <w:highlight w:val="yellow"/>
        </w:rPr>
      </w:pPr>
    </w:p>
    <w:tbl>
      <w:tblPr>
        <w:tblW w:w="8658" w:type="dxa"/>
        <w:tblInd w:w="-55" w:type="dxa"/>
        <w:tblLook w:val="0000" w:firstRow="0" w:lastRow="0" w:firstColumn="0" w:lastColumn="0" w:noHBand="0" w:noVBand="0"/>
      </w:tblPr>
      <w:tblGrid>
        <w:gridCol w:w="8658"/>
      </w:tblGrid>
      <w:tr w:rsidR="00855EC3" w:rsidTr="006D7DBA">
        <w:trPr>
          <w:trHeight w:val="3821"/>
        </w:trPr>
        <w:tc>
          <w:tcPr>
            <w:tcW w:w="8658" w:type="dxa"/>
            <w:tcBorders>
              <w:top w:val="single" w:sz="4" w:space="0" w:color="000000"/>
              <w:left w:val="single" w:sz="4" w:space="0" w:color="000000"/>
              <w:bottom w:val="single" w:sz="4" w:space="0" w:color="000000"/>
              <w:right w:val="single" w:sz="4" w:space="0" w:color="000000"/>
            </w:tcBorders>
            <w:shd w:val="clear" w:color="auto" w:fill="auto"/>
          </w:tcPr>
          <w:p w:rsidR="00855EC3" w:rsidRDefault="00855EC3" w:rsidP="006D7DBA">
            <w:pPr>
              <w:spacing w:line="240" w:lineRule="auto"/>
              <w:ind w:hanging="2"/>
              <w:jc w:val="both"/>
              <w:rPr>
                <w:rFonts w:ascii="Times New Roman" w:eastAsia="Times New Roman" w:hAnsi="Times New Roman"/>
                <w:color w:val="000000"/>
              </w:rPr>
            </w:pPr>
            <w:r>
              <w:rPr>
                <w:rFonts w:ascii="Times New Roman" w:eastAsia="Times New Roman" w:hAnsi="Times New Roman"/>
                <w:noProof/>
                <w:color w:val="000000"/>
                <w:lang w:val="fr-FR" w:eastAsia="fr-FR"/>
              </w:rPr>
              <w:drawing>
                <wp:anchor distT="0" distB="0" distL="0" distR="0" simplePos="0" relativeHeight="251662336" behindDoc="0" locked="0" layoutInCell="1" allowOverlap="1" wp14:anchorId="3F53DB3E" wp14:editId="0F0E9F83">
                  <wp:simplePos x="0" y="0"/>
                  <wp:positionH relativeFrom="column">
                    <wp:posOffset>1113790</wp:posOffset>
                  </wp:positionH>
                  <wp:positionV relativeFrom="paragraph">
                    <wp:posOffset>5080</wp:posOffset>
                  </wp:positionV>
                  <wp:extent cx="3728720" cy="2169795"/>
                  <wp:effectExtent l="0" t="0" r="0" b="0"/>
                  <wp:wrapTopAndBottom/>
                  <wp:docPr id="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png"/>
                          <pic:cNvPicPr>
                            <a:picLocks noChangeAspect="1" noChangeArrowheads="1"/>
                          </pic:cNvPicPr>
                        </pic:nvPicPr>
                        <pic:blipFill>
                          <a:blip r:embed="rId8"/>
                          <a:stretch>
                            <a:fillRect/>
                          </a:stretch>
                        </pic:blipFill>
                        <pic:spPr bwMode="auto">
                          <a:xfrm>
                            <a:off x="0" y="0"/>
                            <a:ext cx="3728720" cy="2169795"/>
                          </a:xfrm>
                          <a:prstGeom prst="rect">
                            <a:avLst/>
                          </a:prstGeom>
                        </pic:spPr>
                      </pic:pic>
                    </a:graphicData>
                  </a:graphic>
                </wp:anchor>
              </w:drawing>
            </w:r>
          </w:p>
        </w:tc>
      </w:tr>
      <w:tr w:rsidR="00855EC3" w:rsidTr="006D7DBA">
        <w:tc>
          <w:tcPr>
            <w:tcW w:w="8658" w:type="dxa"/>
            <w:tcBorders>
              <w:left w:val="single" w:sz="4" w:space="0" w:color="000000"/>
              <w:bottom w:val="single" w:sz="4" w:space="0" w:color="000000"/>
              <w:right w:val="single" w:sz="4" w:space="0" w:color="000000"/>
            </w:tcBorders>
            <w:shd w:val="clear" w:color="auto" w:fill="auto"/>
          </w:tcPr>
          <w:p w:rsidR="00855EC3" w:rsidRDefault="00855EC3" w:rsidP="006D7DBA">
            <w:pPr>
              <w:ind w:hanging="2"/>
              <w:jc w:val="both"/>
              <w:rPr>
                <w:rFonts w:ascii="Times New Roman" w:eastAsia="Times New Roman" w:hAnsi="Times New Roman"/>
                <w:color w:val="000000"/>
                <w:sz w:val="28"/>
                <w:szCs w:val="28"/>
              </w:rPr>
            </w:pPr>
            <w:r>
              <w:rPr>
                <w:rFonts w:ascii="Times New Roman" w:eastAsia="Times New Roman" w:hAnsi="Times New Roman"/>
              </w:rPr>
              <w:t>POD, FAR and FBI (top to bottom) for RR_3h &gt;= 0.1mm/3h, RR_3h &gt;= 5mm/3h and RR_3h &gt;= 10mm/3h (left to right); results from oper/control (black), v265EGr2 (red) and v265ESh2 (green).</w:t>
            </w:r>
          </w:p>
        </w:tc>
      </w:tr>
    </w:tbl>
    <w:p w:rsidR="00855EC3" w:rsidRDefault="00855EC3" w:rsidP="00855EC3">
      <w:pPr>
        <w:tabs>
          <w:tab w:val="left" w:pos="324"/>
          <w:tab w:val="left" w:pos="540"/>
          <w:tab w:val="left" w:pos="756"/>
          <w:tab w:val="left" w:pos="972"/>
          <w:tab w:val="left" w:pos="1188"/>
          <w:tab w:val="left" w:pos="1404"/>
          <w:tab w:val="left" w:pos="1620"/>
          <w:tab w:val="left" w:pos="1836"/>
          <w:tab w:val="left" w:pos="2052"/>
          <w:tab w:val="left" w:pos="2268"/>
          <w:tab w:val="left" w:pos="2484"/>
          <w:tab w:val="left" w:pos="2700"/>
          <w:tab w:val="left" w:pos="2916"/>
          <w:tab w:val="left" w:pos="3132"/>
          <w:tab w:val="left" w:pos="3348"/>
          <w:tab w:val="left" w:pos="3564"/>
          <w:tab w:val="left" w:pos="3780"/>
          <w:tab w:val="left" w:pos="3996"/>
          <w:tab w:val="left" w:pos="4212"/>
          <w:tab w:val="left" w:pos="4428"/>
          <w:tab w:val="left" w:pos="4644"/>
          <w:tab w:val="left" w:pos="4860"/>
          <w:tab w:val="left" w:pos="5076"/>
          <w:tab w:val="left" w:pos="5292"/>
          <w:tab w:val="left" w:pos="5508"/>
          <w:tab w:val="left" w:pos="5724"/>
          <w:tab w:val="left" w:pos="5940"/>
          <w:tab w:val="left" w:pos="6156"/>
          <w:tab w:val="left" w:pos="6372"/>
          <w:tab w:val="left" w:pos="6588"/>
          <w:tab w:val="left" w:pos="6804"/>
          <w:tab w:val="left" w:pos="7020"/>
          <w:tab w:val="left" w:pos="7236"/>
          <w:tab w:val="left" w:pos="7452"/>
          <w:tab w:val="left" w:pos="7668"/>
          <w:tab w:val="left" w:pos="7884"/>
          <w:tab w:val="left" w:pos="8100"/>
          <w:tab w:val="left" w:pos="8316"/>
          <w:tab w:val="left" w:pos="8532"/>
          <w:tab w:val="left" w:pos="8748"/>
          <w:tab w:val="left" w:pos="8964"/>
          <w:tab w:val="left" w:pos="9180"/>
          <w:tab w:val="left" w:pos="9396"/>
          <w:tab w:val="left" w:pos="9612"/>
        </w:tabs>
        <w:spacing w:line="240" w:lineRule="auto"/>
        <w:ind w:hanging="2"/>
        <w:jc w:val="both"/>
        <w:rPr>
          <w:rFonts w:ascii="Times New Roman" w:eastAsia="Times New Roman" w:hAnsi="Times New Roman"/>
        </w:rPr>
      </w:pPr>
    </w:p>
    <w:p w:rsidR="00756A8F" w:rsidRDefault="00756A8F">
      <w:bookmarkStart w:id="0" w:name="_GoBack"/>
      <w:bookmarkEnd w:id="0"/>
    </w:p>
    <w:sectPr w:rsidR="00756A8F">
      <w:pgSz w:w="11906" w:h="16838"/>
      <w:pgMar w:top="1134" w:right="850" w:bottom="1134" w:left="1701" w:header="0" w:footer="0" w:gutter="0"/>
      <w:pgNumType w:start="1"/>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C3"/>
    <w:rsid w:val="00756A8F"/>
    <w:rsid w:val="00855E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C3"/>
    <w:pPr>
      <w:suppressAutoHyphens/>
      <w:spacing w:after="160" w:line="259" w:lineRule="auto"/>
    </w:pPr>
    <w:rPr>
      <w:rFonts w:ascii="Calibri" w:eastAsia="Calibri" w:hAnsi="Calibri" w:cs="Times New Roman"/>
      <w:lang w:val="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C3"/>
    <w:pPr>
      <w:suppressAutoHyphens/>
      <w:spacing w:after="160" w:line="259" w:lineRule="auto"/>
    </w:pPr>
    <w:rPr>
      <w:rFonts w:ascii="Calibri" w:eastAsia="Calibri" w:hAnsi="Calibri" w:cs="Times New Roman"/>
      <w:lang w:val="ru-R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2397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dimitra.boukouvala</dc:creator>
  <cp:lastModifiedBy>dimitra.boukouvala</cp:lastModifiedBy>
  <cp:revision>1</cp:revision>
  <dcterms:created xsi:type="dcterms:W3CDTF">2023-09-01T13:18:00Z</dcterms:created>
  <dcterms:modified xsi:type="dcterms:W3CDTF">2023-09-01T13:19:00Z</dcterms:modified>
</cp:coreProperties>
</file>